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3B23E2-2B1A-4AB6-BBF5-78D25327B912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